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附件1：医用冷藏箱的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eastAsia="zh-CN"/>
        </w:rPr>
        <w:t>采购项目要求</w:t>
      </w:r>
    </w:p>
    <w:p>
      <w:pPr>
        <w:pStyle w:val="8"/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pStyle w:val="8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vertAlign w:val="baseline"/>
          <w:lang w:val="en-US" w:eastAsia="zh-CN" w:bidi="ar-SA"/>
        </w:rPr>
        <w:t>供应商资质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24"/>
          <w:szCs w:val="24"/>
        </w:rPr>
        <w:t>具有独立承担民事责任的能力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（提供承诺函）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</w:rPr>
        <w:t>具有良好的商业信誉和健全的财务会计制度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（提供承诺函）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、符合经营该设备的营业范围（提供营业执照复印件）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</w:rPr>
        <w:t>参加本次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比选</w:t>
      </w:r>
      <w:r>
        <w:rPr>
          <w:rFonts w:hint="eastAsia" w:ascii="仿宋" w:hAnsi="仿宋" w:eastAsia="仿宋" w:cs="仿宋"/>
          <w:bCs/>
          <w:sz w:val="24"/>
          <w:szCs w:val="24"/>
        </w:rPr>
        <w:t>活动前三年内，在经营活动中没有重大违法记录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（提供承诺函）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 5、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投标产品为医疗器械的，投标产品须符合《医疗器械注册管理办法》要求并提供齐全有效的中华人民共和国医疗器械注册证或备案凭证；投标人须符合《医疗器械监督管理条例》要求并提供相关医疗器械生产(或经营)许可证或备案凭证。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 注：上述资料均加盖公司鲜章。</w:t>
      </w:r>
    </w:p>
    <w:p>
      <w:pPr>
        <w:bidi w:val="0"/>
        <w:rPr>
          <w:rFonts w:hint="default"/>
          <w:b/>
          <w:bCs/>
          <w:lang w:val="en-US"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二、技术参数及最高限价单价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（注：1、供应商投标文件中需注明响应情况、所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投产品品牌、生产厂家、规格型号等；2、报价超过最高限价单价为无效报价）</w:t>
      </w:r>
    </w:p>
    <w:tbl>
      <w:tblPr>
        <w:tblStyle w:val="6"/>
        <w:tblpPr w:leftFromText="180" w:rightFromText="180" w:vertAnchor="text" w:tblpX="-286" w:tblpY="1"/>
        <w:tblOverlap w:val="never"/>
        <w:tblW w:w="9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5988"/>
        <w:gridCol w:w="74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-US" w:eastAsia="zh-CN"/>
              </w:rPr>
              <w:t>设备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  <w:t>名称</w:t>
            </w:r>
          </w:p>
        </w:tc>
        <w:tc>
          <w:tcPr>
            <w:tcW w:w="59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  <w:t>主要技术参数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eastAsia="zh-CN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  <w:t>数量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eastAsia="zh-CN"/>
              </w:rPr>
              <w:t>最高限价单价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医用冷藏箱</w:t>
            </w:r>
          </w:p>
        </w:tc>
        <w:tc>
          <w:tcPr>
            <w:tcW w:w="5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27" w:leftChars="-13" w:firstLine="381" w:firstLineChars="211"/>
              <w:jc w:val="left"/>
              <w:textAlignment w:val="auto"/>
              <w:rPr>
                <w:rFonts w:hint="default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箱内温度：2℃-8℃；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27" w:leftChars="-13" w:firstLine="381" w:firstLineChars="211"/>
              <w:jc w:val="left"/>
              <w:textAlignment w:val="auto"/>
              <w:rPr>
                <w:rFonts w:hint="default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箱内容积700L-800L；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27" w:leftChars="-13" w:firstLine="381" w:firstLineChars="211"/>
              <w:jc w:val="left"/>
              <w:textAlignment w:val="auto"/>
              <w:rPr>
                <w:rFonts w:hint="default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样式：立式、双开门、透明玻璃门；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27" w:leftChars="-13" w:firstLine="381" w:firstLineChars="211"/>
              <w:jc w:val="left"/>
              <w:textAlignment w:val="auto"/>
              <w:rPr>
                <w:rFonts w:hint="default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门体要求：高温高湿环镜下无凝露；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27" w:leftChars="-13" w:firstLine="381" w:firstLineChars="211"/>
              <w:jc w:val="left"/>
              <w:textAlignment w:val="auto"/>
              <w:rPr>
                <w:rFonts w:hint="default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外部材质要求：耐腐蚀、抗氧化、易清洁；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27" w:leftChars="-13" w:firstLine="381" w:firstLineChars="211"/>
              <w:jc w:val="left"/>
              <w:textAlignment w:val="auto"/>
              <w:rPr>
                <w:rFonts w:hint="default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内部材质要求：耐腐蚀、易清洁；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27" w:leftChars="-13" w:firstLine="381" w:firstLineChars="211"/>
              <w:jc w:val="left"/>
              <w:textAlignment w:val="auto"/>
              <w:rPr>
                <w:rFonts w:hint="default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该产品需配备四个万向轮，脚轮可锁定，保证设备稳定摆放；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27" w:leftChars="-13" w:firstLine="381" w:firstLineChars="211"/>
              <w:jc w:val="left"/>
              <w:textAlignment w:val="auto"/>
              <w:rPr>
                <w:rFonts w:hint="default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温度波动值不超过1℃；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27" w:leftChars="-13" w:firstLine="381" w:firstLineChars="211"/>
              <w:jc w:val="left"/>
              <w:textAlignment w:val="auto"/>
              <w:rPr>
                <w:rFonts w:hint="default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温度均匀性和波动均匀度不高于1.5℃；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27" w:leftChars="-13" w:firstLine="381" w:firstLineChars="211"/>
              <w:jc w:val="left"/>
              <w:textAlignment w:val="auto"/>
              <w:rPr>
                <w:rFonts w:hint="default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多重报警功能。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12800元</w:t>
            </w:r>
          </w:p>
        </w:tc>
      </w:tr>
    </w:tbl>
    <w:p>
      <w:pPr>
        <w:pStyle w:val="3"/>
        <w:numPr>
          <w:ilvl w:val="0"/>
          <w:numId w:val="0"/>
        </w:numPr>
        <w:spacing w:after="0" w:line="240" w:lineRule="auto"/>
        <w:ind w:leftChars="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spacing w:after="0" w:line="240" w:lineRule="auto"/>
        <w:ind w:leftChars="0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三：售后：质保不少于二年，响应速度及时。</w:t>
      </w:r>
    </w:p>
    <w:p>
      <w:pPr>
        <w:pStyle w:val="3"/>
        <w:numPr>
          <w:ilvl w:val="0"/>
          <w:numId w:val="0"/>
        </w:numPr>
        <w:spacing w:after="0" w:line="240" w:lineRule="auto"/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四、送货期限：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签约合同后10个工作日内将货物配送到指定地点。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五、付款方式：交货验收合格后,供货方向院方出具合法有效完整的完税发票进行支付结算。</w:t>
      </w:r>
    </w:p>
    <w:p>
      <w:pPr>
        <w:pStyle w:val="3"/>
        <w:numPr>
          <w:ilvl w:val="0"/>
          <w:numId w:val="0"/>
        </w:numPr>
        <w:spacing w:line="360" w:lineRule="auto"/>
        <w:ind w:leftChars="0" w:firstLine="301" w:firstLineChars="1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3"/>
        <w:numPr>
          <w:ilvl w:val="0"/>
          <w:numId w:val="0"/>
        </w:numPr>
        <w:spacing w:line="360" w:lineRule="auto"/>
        <w:ind w:leftChars="0" w:firstLine="301" w:firstLineChars="1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本章采购要求中的条款为本次采购项目的实质性要求，供应商应全部满足，否则视为响应文件无效。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76E8B"/>
    <w:multiLevelType w:val="singleLevel"/>
    <w:tmpl w:val="C3C76E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mQ5YTgzNzExZGU4ZTRjNjVlNWMxZDgwMDNkZTUifQ=="/>
  </w:docVars>
  <w:rsids>
    <w:rsidRoot w:val="56833554"/>
    <w:rsid w:val="02490401"/>
    <w:rsid w:val="0B1772B7"/>
    <w:rsid w:val="11A501C2"/>
    <w:rsid w:val="11C0052E"/>
    <w:rsid w:val="2D9D72EB"/>
    <w:rsid w:val="44A761AF"/>
    <w:rsid w:val="48E76EB8"/>
    <w:rsid w:val="4EDA5AEF"/>
    <w:rsid w:val="51CE6F8D"/>
    <w:rsid w:val="56833554"/>
    <w:rsid w:val="656071F2"/>
    <w:rsid w:val="6C943AB3"/>
    <w:rsid w:val="76A06B8B"/>
    <w:rsid w:val="7D00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5">
    <w:name w:val="Body Text First Indent 2"/>
    <w:basedOn w:val="4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654</Characters>
  <Lines>0</Lines>
  <Paragraphs>0</Paragraphs>
  <TotalTime>73</TotalTime>
  <ScaleCrop>false</ScaleCrop>
  <LinksUpToDate>false</LinksUpToDate>
  <CharactersWithSpaces>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2024-04-24T07:56:00Z</dcterms:created>
  <dc:creator>旧梦</dc:creator>
  <cp:lastModifiedBy>Pennylam</cp:lastModifiedBy>
  <cp:lastPrinted>2024-05-17T02:17:00Z</cp:lastPrinted>
  <dcterms:modified xsi:type="dcterms:W3CDTF">2024-07-16T09:23:35Z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10416E83231A40E5AF42043F8CF38F7B_13</vt:lpwstr>
  </property>
</Properties>
</file>